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BVGE 2025 IV/3 vom 2. April 2025</w:t>
      </w:r>
    </w:p>
    <w:p>
      <w:r>
        <w:t>Bundesverwaltungsgericht, 2025-04-02, DE</w:t>
      </w:r>
    </w:p>
    <w:p>
      <w:r>
        <w:rPr>
          <w:b/>
        </w:rPr>
        <w:t xml:space="preserve">Quelle: </w:t>
      </w:r>
      <w:r>
        <w:t>https://mcp.opencaselaw.ch/entscheid/bvger_BVGE 2025 IV_3</w:t>
      </w:r>
    </w:p>
    <w:p>
      <w:r>
        <w:t>FR: TAF BVGE 2025 IV/3 du 2 avril 2025</w:t>
      </w:r>
    </w:p>
    <w:p>
      <w:r>
        <w:t>IT: TAF BVGE 2025 IV/3 del 2 aprile 2025</w:t>
      </w:r>
    </w:p>
    <w:p>
      <w:pPr>
        <w:pStyle w:val="Heading2"/>
      </w:pPr>
      <w:r>
        <w:t>Regeste</w:t>
      </w:r>
    </w:p>
    <w:p>
      <w:r>
        <w:t>GUB/GGA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Pflichtenheft einer GUB/GGA muss diejenigen traditionellen Merkmale eines Produkts vollständig aufführen, die das Vertrauen der Verbraucher/-innen in den " lien au terroir " begründen. Traditionelle Produktionsmassnahmen sind der Zugabe neuer Hilfsstoffe grundsätzlich vorzuziehen (E. 3.3 und 4.4).</w:t>
      </w:r>
    </w:p>
    <w:p>
      <w:r>
        <w:rPr>
          <w:b/>
        </w:rPr>
        <w:t>E. 2</w:t>
      </w:r>
    </w:p>
    <w:p>
      <w:r>
        <w:t>Das Pflichtenheft darf geändert werden, sofern ein hinreichendes Interesse der Verbraucher/-innen besteht und die neue Regelung geeignet, erforderlich und zumutbar (verhältnismässig im engeren Sinn) ist (E. 3.4).</w:t>
      </w:r>
    </w:p>
    <w:p>
      <w:r>
        <w:rPr>
          <w:b/>
        </w:rPr>
        <w:t>E. 3</w:t>
      </w:r>
    </w:p>
    <w:p>
      <w:r>
        <w:t>Die gesuchstellende Gruppierung verfügt über eine gewisse Autonomie bei der Wahl der erforderlichen Elemente des Pflichtenhefts, das Bundesamt für Landwirtschaft (BLW) hingegen über Ermessen hinsichtlich ihrer Geeignetheit (E. 3.5).</w:t>
      </w:r>
    </w:p>
    <w:p>
      <w:r>
        <w:rPr>
          <w:b/>
        </w:rPr>
        <w:t>E. 4</w:t>
      </w:r>
    </w:p>
    <w:p>
      <w:r>
        <w:t>L'utilisation de poudre de foin se justifie par la tradition des trous dans le fromage; elle est en outre techniquement nécessaire et proportionnée au sens étroit, malgré le faible nombre d'entreprises recourant à cette matière auxiliaire (consid. 4.5). Registro delle denominazioni d'origine (DOP) e delle indicazioni geografiche (IPG) protette. Modifica dell'elenco degli obblighi. Art. 16 cpv. 2 lett. b LAgr. Art. 7, art. 14 cpv. 1 ordinanza DOP/IPG.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